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LT</w:t>
      </w:r>
    </w:p>
    <w:p w14:paraId="2704A83C" w14:textId="77777777" w:rsidR="009E7D0C" w:rsidRDefault="009E7D0C" w:rsidP="00A33695">
      <w:pPr>
        <w:jc w:val="center"/>
        <w:rPr>
          <w:rFonts w:ascii="Times New Roman" w:hAnsi="Times New Roman"/>
          <w:sz w:val="24"/>
        </w:rPr>
      </w:pPr>
    </w:p>
    <w:p w14:paraId="24333E7A" w14:textId="5EEA2C00" w:rsidR="008D696E" w:rsidRDefault="008D696E" w:rsidP="00A33695">
      <w:pPr>
        <w:jc w:val="center"/>
        <w:rPr>
          <w:rFonts w:ascii="Times New Roman" w:hAnsi="Times New Roman"/>
          <w:sz w:val="24"/>
        </w:rPr>
      </w:pPr>
      <w:r>
        <w:rPr>
          <w:rFonts w:ascii="Times New Roman" w:hAnsi="Times New Roman"/>
          <w:sz w:val="24"/>
        </w:rPr>
        <w:t>XLIV PRIEDAS</w:t>
      </w:r>
    </w:p>
    <w:p w14:paraId="327777EC" w14:textId="412B4B5A" w:rsidR="002648B0" w:rsidRPr="002A677E" w:rsidRDefault="00D03B1B" w:rsidP="00C87CEE">
      <w:pPr>
        <w:jc w:val="center"/>
        <w:rPr>
          <w:rFonts w:ascii="Times New Roman" w:hAnsi="Times New Roman"/>
          <w:b/>
          <w:sz w:val="24"/>
        </w:rPr>
      </w:pPr>
      <w:proofErr w:type="spellStart"/>
      <w:r>
        <w:rPr>
          <w:rFonts w:ascii="Times New Roman" w:hAnsi="Times New Roman"/>
          <w:b/>
          <w:sz w:val="24"/>
        </w:rPr>
        <w:t>Kriptoturto</w:t>
      </w:r>
      <w:proofErr w:type="spellEnd"/>
      <w:r>
        <w:rPr>
          <w:rFonts w:ascii="Times New Roman" w:hAnsi="Times New Roman"/>
          <w:b/>
          <w:sz w:val="24"/>
        </w:rPr>
        <w:t xml:space="preserve"> pozicijų atskleidimo nurodymai</w:t>
      </w:r>
    </w:p>
    <w:p w14:paraId="2C40683C" w14:textId="77777777" w:rsidR="00436204" w:rsidRPr="002A677E" w:rsidRDefault="00436204" w:rsidP="00C87CEE">
      <w:pPr>
        <w:jc w:val="center"/>
        <w:rPr>
          <w:rFonts w:ascii="Times New Roman" w:hAnsi="Times New Roman"/>
          <w:b/>
          <w:sz w:val="24"/>
          <w:lang w:eastAsia="de-DE"/>
        </w:rPr>
      </w:pPr>
    </w:p>
    <w:p w14:paraId="4099A354" w14:textId="78CABFD4" w:rsidR="00464F34" w:rsidRPr="00D03B1B" w:rsidRDefault="00D03B1B" w:rsidP="002F1D8D">
      <w:pPr>
        <w:pStyle w:val="Instructionsberschrift2"/>
        <w:numPr>
          <w:ilvl w:val="0"/>
          <w:numId w:val="0"/>
        </w:numPr>
        <w:rPr>
          <w:rFonts w:ascii="Times New Roman" w:hAnsi="Times New Roman" w:cs="Times New Roman"/>
          <w:sz w:val="24"/>
        </w:rPr>
      </w:pPr>
      <w:bookmarkStart w:id="2" w:name="_Toc163551527"/>
      <w:bookmarkEnd w:id="0"/>
      <w:bookmarkEnd w:id="1"/>
      <w:r>
        <w:rPr>
          <w:rFonts w:ascii="Times New Roman" w:hAnsi="Times New Roman"/>
          <w:b/>
          <w:sz w:val="24"/>
          <w:u w:val="none"/>
        </w:rPr>
        <w:t xml:space="preserve">EU CAE 1 forma. </w:t>
      </w:r>
      <w:proofErr w:type="spellStart"/>
      <w:r>
        <w:rPr>
          <w:rFonts w:ascii="Times New Roman" w:hAnsi="Times New Roman"/>
          <w:b/>
          <w:sz w:val="24"/>
          <w:u w:val="none"/>
        </w:rPr>
        <w:t>Kriptoturtui</w:t>
      </w:r>
      <w:proofErr w:type="spellEnd"/>
      <w:r>
        <w:rPr>
          <w:rFonts w:ascii="Times New Roman" w:hAnsi="Times New Roman"/>
          <w:b/>
          <w:sz w:val="24"/>
          <w:u w:val="none"/>
        </w:rPr>
        <w:t xml:space="preserve"> skirta forma</w:t>
      </w:r>
      <w:bookmarkEnd w:id="2"/>
      <w:r>
        <w:rPr>
          <w:rFonts w:ascii="Times New Roman" w:hAnsi="Times New Roman"/>
          <w:sz w:val="24"/>
          <w:u w:val="none"/>
        </w:rPr>
        <w:t xml:space="preserve"> </w:t>
      </w:r>
      <w:r w:rsidR="001444DE">
        <w:rPr>
          <w:rFonts w:ascii="Times New Roman" w:hAnsi="Times New Roman"/>
          <w:sz w:val="24"/>
          <w:u w:val="none"/>
        </w:rPr>
        <w:t>(n</w:t>
      </w:r>
      <w:r>
        <w:rPr>
          <w:rFonts w:ascii="Times New Roman" w:hAnsi="Times New Roman"/>
          <w:sz w:val="24"/>
          <w:u w:val="none"/>
        </w:rPr>
        <w:t>ustatytasis formatas</w:t>
      </w:r>
      <w:r w:rsidR="001444DE">
        <w:rPr>
          <w:rFonts w:ascii="Times New Roman" w:hAnsi="Times New Roman"/>
          <w:sz w:val="24"/>
          <w:u w:val="none"/>
        </w:rPr>
        <w:t>)</w:t>
      </w:r>
    </w:p>
    <w:p w14:paraId="041009DD" w14:textId="3EFC441D" w:rsidR="00464F34" w:rsidRPr="0076606B" w:rsidRDefault="00D03B1B" w:rsidP="002F1D8D">
      <w:pPr>
        <w:pStyle w:val="InstructionsText2"/>
        <w:jc w:val="both"/>
      </w:pPr>
      <w:r>
        <w:t>Pildydamos EBI IT sprendimų XLIII priede pateiktą EU CAE1 formą įstaigos vadovaujasi toliau pateiktais nurodymais, kad atskleistų informaciją apie pagal riziką įvertintų pozicijų sumas ir nuosavų lėšų reikalavimus, apskaičiuotus Reglamento (ES) Nr. 575/2013</w:t>
      </w:r>
      <w:r>
        <w:rPr>
          <w:rStyle w:val="FootnoteReference"/>
          <w:rFonts w:ascii="Times New Roman" w:eastAsiaTheme="minorEastAsia" w:hAnsi="Times New Roman"/>
          <w:bCs w:val="0"/>
          <w:color w:val="000000"/>
          <w:sz w:val="24"/>
          <w:szCs w:val="24"/>
          <w:vertAlign w:val="superscript"/>
        </w:rPr>
        <w:footnoteReference w:id="2"/>
      </w:r>
      <w:r>
        <w:t xml:space="preserve"> 501d straipsnio 2 dalyje nurodytų rūšių </w:t>
      </w:r>
      <w:proofErr w:type="spellStart"/>
      <w:r>
        <w:t>kriptoturto</w:t>
      </w:r>
      <w:proofErr w:type="spellEnd"/>
      <w:r>
        <w:t xml:space="preserve"> pozicijoms.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464F34" w:rsidRPr="002A677E" w14:paraId="05FA098D" w14:textId="77777777" w:rsidTr="00D9757A">
        <w:trPr>
          <w:trHeight w:val="397"/>
        </w:trPr>
        <w:tc>
          <w:tcPr>
            <w:tcW w:w="9918" w:type="dxa"/>
            <w:gridSpan w:val="2"/>
            <w:shd w:val="clear" w:color="auto" w:fill="CCCCCC"/>
          </w:tcPr>
          <w:p w14:paraId="76571629" w14:textId="6F36549B" w:rsidR="00464F34" w:rsidRPr="002A677E" w:rsidRDefault="0076606B" w:rsidP="002F1D8D">
            <w:pPr>
              <w:pStyle w:val="InstructionsText"/>
            </w:pPr>
            <w:r>
              <w:t>Nuorodos į teisės aktus ir nurodymai</w:t>
            </w:r>
          </w:p>
        </w:tc>
      </w:tr>
      <w:tr w:rsidR="0076606B" w:rsidRPr="0076606B" w14:paraId="355F95A3" w14:textId="77777777" w:rsidTr="00D9757A">
        <w:tc>
          <w:tcPr>
            <w:tcW w:w="1555" w:type="dxa"/>
            <w:shd w:val="clear" w:color="auto" w:fill="CCCCCC"/>
          </w:tcPr>
          <w:p w14:paraId="5227B491" w14:textId="73380187" w:rsidR="0076606B" w:rsidRPr="0076606B" w:rsidRDefault="0076606B" w:rsidP="002F1D8D">
            <w:pPr>
              <w:pStyle w:val="InstructionsText"/>
            </w:pPr>
            <w:r>
              <w:t xml:space="preserve">Skilties numeris </w:t>
            </w:r>
          </w:p>
        </w:tc>
        <w:tc>
          <w:tcPr>
            <w:tcW w:w="8363" w:type="dxa"/>
            <w:shd w:val="clear" w:color="auto" w:fill="CCCCCC"/>
          </w:tcPr>
          <w:p w14:paraId="5846F631" w14:textId="28D78C36" w:rsidR="0076606B" w:rsidRPr="0076606B" w:rsidRDefault="0076606B" w:rsidP="002F1D8D">
            <w:pPr>
              <w:pStyle w:val="InstructionsText"/>
            </w:pPr>
            <w:r>
              <w:t>Paaiškinimas</w:t>
            </w:r>
          </w:p>
        </w:tc>
      </w:tr>
      <w:tr w:rsidR="002953A0" w:rsidRPr="0076606B" w14:paraId="11675C2A" w14:textId="77777777" w:rsidTr="001A633E">
        <w:tc>
          <w:tcPr>
            <w:tcW w:w="1555" w:type="dxa"/>
          </w:tcPr>
          <w:p w14:paraId="4BE7CB71" w14:textId="77777777" w:rsidR="002953A0" w:rsidRPr="0076606B" w:rsidRDefault="002953A0" w:rsidP="002F1D8D">
            <w:pPr>
              <w:pStyle w:val="InstructionsText"/>
            </w:pPr>
            <w:r>
              <w:t>a</w:t>
            </w:r>
          </w:p>
        </w:tc>
        <w:tc>
          <w:tcPr>
            <w:tcW w:w="8363" w:type="dxa"/>
          </w:tcPr>
          <w:p w14:paraId="16748558" w14:textId="2EDF205C" w:rsidR="002953A0" w:rsidRPr="0076606B" w:rsidRDefault="002953A0"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Pozicijos vertė</w:t>
            </w:r>
          </w:p>
          <w:p w14:paraId="3168829C" w14:textId="2476B8CA" w:rsidR="002953A0" w:rsidRPr="0076606B" w:rsidRDefault="002953A0" w:rsidP="002F1D8D">
            <w:pPr>
              <w:pStyle w:val="InstructionsText"/>
            </w:pPr>
            <w:r>
              <w:t xml:space="preserve">Reglamento (ES) Nr. 575/2013 </w:t>
            </w:r>
            <w:r>
              <w:rPr>
                <w:rStyle w:val="InstructionsTabelleberschrift"/>
                <w:rFonts w:ascii="Times New Roman" w:hAnsi="Times New Roman"/>
                <w:b w:val="0"/>
                <w:sz w:val="24"/>
                <w:u w:val="none"/>
              </w:rPr>
              <w:t>501d straipsnio 2 dalyje</w:t>
            </w:r>
            <w:r>
              <w:t xml:space="preserve"> nurodytų skirtingų </w:t>
            </w:r>
            <w:proofErr w:type="spellStart"/>
            <w:r>
              <w:t>kriptoturto</w:t>
            </w:r>
            <w:proofErr w:type="spellEnd"/>
            <w:r>
              <w:t xml:space="preserve"> rūšių </w:t>
            </w:r>
            <w:proofErr w:type="spellStart"/>
            <w:r>
              <w:t>kriptoturto</w:t>
            </w:r>
            <w:proofErr w:type="spellEnd"/>
            <w:r>
              <w:t xml:space="preserve"> pozicijų vertė</w:t>
            </w:r>
            <w:r w:rsidR="001444DE">
              <w:t>.</w:t>
            </w:r>
          </w:p>
        </w:tc>
      </w:tr>
      <w:tr w:rsidR="00E46AC0" w:rsidRPr="0076606B" w14:paraId="25D246EF" w14:textId="77777777" w:rsidTr="00D9757A">
        <w:tc>
          <w:tcPr>
            <w:tcW w:w="1555" w:type="dxa"/>
          </w:tcPr>
          <w:p w14:paraId="15D7F3E0" w14:textId="5E6C5043" w:rsidR="0076606B" w:rsidRPr="0076606B" w:rsidRDefault="002953A0" w:rsidP="002F1D8D">
            <w:pPr>
              <w:pStyle w:val="InstructionsText"/>
            </w:pPr>
            <w:r>
              <w:t>b</w:t>
            </w:r>
          </w:p>
        </w:tc>
        <w:tc>
          <w:tcPr>
            <w:tcW w:w="8363" w:type="dxa"/>
          </w:tcPr>
          <w:p w14:paraId="18B3A388" w14:textId="519B3BC9" w:rsidR="00E46AC0" w:rsidRPr="0076606B" w:rsidRDefault="0076606B"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Pagal riziką įvertintų pozicijų sumos (RWEA)</w:t>
            </w:r>
          </w:p>
          <w:p w14:paraId="2AB54302" w14:textId="6AF2EAB8" w:rsidR="002953A0" w:rsidRDefault="002953A0" w:rsidP="002F1D8D">
            <w:pPr>
              <w:pStyle w:val="InstructionsText"/>
              <w:rPr>
                <w:rStyle w:val="InstructionsTabelleberschrift"/>
                <w:rFonts w:ascii="Times New Roman" w:hAnsi="Times New Roman"/>
                <w:b w:val="0"/>
                <w:bCs/>
                <w:sz w:val="24"/>
                <w:u w:val="none"/>
              </w:rPr>
            </w:pPr>
            <w:r>
              <w:t xml:space="preserve">Reglamento (ES) Nr. 575/2013 </w:t>
            </w:r>
            <w:r>
              <w:rPr>
                <w:rStyle w:val="InstructionsTabelleberschrift"/>
                <w:rFonts w:ascii="Times New Roman" w:hAnsi="Times New Roman"/>
                <w:b w:val="0"/>
                <w:sz w:val="24"/>
                <w:u w:val="none"/>
              </w:rPr>
              <w:t>501d straipsnio 2 dalis</w:t>
            </w:r>
          </w:p>
          <w:p w14:paraId="2EA1E817" w14:textId="7862AD81" w:rsidR="002953A0" w:rsidRDefault="002953A0"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Pagal riziką įvertintų įvairių rūšių </w:t>
            </w:r>
            <w:proofErr w:type="spellStart"/>
            <w:r>
              <w:rPr>
                <w:rStyle w:val="InstructionsTabelleberschrift"/>
                <w:rFonts w:ascii="Times New Roman" w:hAnsi="Times New Roman"/>
                <w:b w:val="0"/>
                <w:sz w:val="24"/>
                <w:u w:val="none"/>
              </w:rPr>
              <w:t>kriptoturto</w:t>
            </w:r>
            <w:proofErr w:type="spellEnd"/>
            <w:r>
              <w:rPr>
                <w:rStyle w:val="InstructionsTabelleberschrift"/>
                <w:rFonts w:ascii="Times New Roman" w:hAnsi="Times New Roman"/>
                <w:b w:val="0"/>
                <w:sz w:val="24"/>
                <w:u w:val="none"/>
              </w:rPr>
              <w:t xml:space="preserve"> pozicijų sumos, apskaičiuotos pagal</w:t>
            </w:r>
            <w:r>
              <w:t xml:space="preserve"> Reglamento (ES) Nr. 575/2013 501d straipsnio 2 dalies f punktą</w:t>
            </w:r>
            <w:r>
              <w:rPr>
                <w:rStyle w:val="InstructionsTabelleberschrift"/>
                <w:rFonts w:ascii="Times New Roman" w:hAnsi="Times New Roman"/>
                <w:b w:val="0"/>
                <w:sz w:val="24"/>
                <w:u w:val="none"/>
              </w:rPr>
              <w:t>.</w:t>
            </w:r>
          </w:p>
          <w:p w14:paraId="019E027E" w14:textId="27A9F1F5" w:rsidR="000811A0" w:rsidRPr="0076606B" w:rsidRDefault="000811A0" w:rsidP="002F1D8D">
            <w:pPr>
              <w:pStyle w:val="InstructionsText"/>
            </w:pPr>
          </w:p>
        </w:tc>
      </w:tr>
      <w:tr w:rsidR="0076606B" w:rsidRPr="0076606B" w14:paraId="31E88113" w14:textId="77777777" w:rsidTr="00D9757A">
        <w:tc>
          <w:tcPr>
            <w:tcW w:w="1555" w:type="dxa"/>
          </w:tcPr>
          <w:p w14:paraId="276588C9" w14:textId="2559B7BA" w:rsidR="0076606B" w:rsidRDefault="002953A0" w:rsidP="002F1D8D">
            <w:pPr>
              <w:pStyle w:val="InstructionsText"/>
            </w:pPr>
            <w:r>
              <w:t>c</w:t>
            </w:r>
          </w:p>
        </w:tc>
        <w:tc>
          <w:tcPr>
            <w:tcW w:w="8363" w:type="dxa"/>
          </w:tcPr>
          <w:p w14:paraId="1DB08D4E" w14:textId="77777777" w:rsidR="0076606B" w:rsidRDefault="0076606B"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Nuosavų lėšų reikalavimai </w:t>
            </w:r>
          </w:p>
          <w:p w14:paraId="7787F909" w14:textId="62031729" w:rsidR="003B6B5F" w:rsidRDefault="003B6B5F" w:rsidP="002F1D8D">
            <w:pPr>
              <w:pStyle w:val="InstructionsText"/>
              <w:rPr>
                <w:rStyle w:val="InstructionsTabelleberschrift"/>
                <w:rFonts w:ascii="Times New Roman" w:hAnsi="Times New Roman"/>
                <w:b w:val="0"/>
                <w:bCs/>
                <w:sz w:val="24"/>
                <w:u w:val="none"/>
              </w:rPr>
            </w:pPr>
            <w:r>
              <w:t xml:space="preserve">Reglamento (ES) Nr. 575/2013 </w:t>
            </w:r>
            <w:r>
              <w:rPr>
                <w:rStyle w:val="InstructionsTabelleberschrift"/>
                <w:rFonts w:ascii="Times New Roman" w:hAnsi="Times New Roman"/>
                <w:b w:val="0"/>
                <w:sz w:val="24"/>
                <w:u w:val="none"/>
              </w:rPr>
              <w:t>501d straipsnio 2 dalis</w:t>
            </w:r>
          </w:p>
          <w:p w14:paraId="7D3D40B6" w14:textId="26A2D5FE" w:rsidR="0076606B" w:rsidRPr="0076606B" w:rsidRDefault="0076606B"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Nuosavų lėšų reikalavimai, atitinkantys įvairių rūšių </w:t>
            </w:r>
            <w:proofErr w:type="spellStart"/>
            <w:r>
              <w:rPr>
                <w:rStyle w:val="InstructionsTabelleberschrift"/>
                <w:rFonts w:ascii="Times New Roman" w:hAnsi="Times New Roman"/>
                <w:b w:val="0"/>
                <w:sz w:val="24"/>
                <w:u w:val="none"/>
              </w:rPr>
              <w:t>kriptoturto</w:t>
            </w:r>
            <w:proofErr w:type="spellEnd"/>
            <w:r>
              <w:rPr>
                <w:rStyle w:val="InstructionsTabelleberschrift"/>
                <w:rFonts w:ascii="Times New Roman" w:hAnsi="Times New Roman"/>
                <w:b w:val="0"/>
                <w:sz w:val="24"/>
                <w:u w:val="none"/>
              </w:rPr>
              <w:t xml:space="preserve"> pagal riziką įvertintų pozicijų sumas.</w:t>
            </w:r>
          </w:p>
        </w:tc>
      </w:tr>
    </w:tbl>
    <w:p w14:paraId="310FB6E2" w14:textId="77777777" w:rsidR="00464F34" w:rsidRPr="0076606B" w:rsidRDefault="00464F34" w:rsidP="002F1D8D">
      <w:pPr>
        <w:pStyle w:val="InstructionsText"/>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D9757A" w:rsidRPr="002A677E" w14:paraId="485D8F4A" w14:textId="77777777" w:rsidTr="00D9757A">
        <w:trPr>
          <w:trHeight w:val="397"/>
        </w:trPr>
        <w:tc>
          <w:tcPr>
            <w:tcW w:w="9918" w:type="dxa"/>
            <w:gridSpan w:val="2"/>
            <w:shd w:val="clear" w:color="auto" w:fill="CCCCCC"/>
          </w:tcPr>
          <w:p w14:paraId="57E6B293" w14:textId="77777777" w:rsidR="00D9757A" w:rsidRPr="002A677E" w:rsidRDefault="00D9757A" w:rsidP="002F1D8D">
            <w:pPr>
              <w:pStyle w:val="InstructionsText"/>
            </w:pPr>
            <w:r>
              <w:t>Nuorodos į teisės aktus ir nurodymai</w:t>
            </w:r>
          </w:p>
        </w:tc>
      </w:tr>
      <w:tr w:rsidR="00464F34" w:rsidRPr="0076606B" w14:paraId="511AFFC7" w14:textId="77777777" w:rsidTr="00D9757A">
        <w:tc>
          <w:tcPr>
            <w:tcW w:w="1555" w:type="dxa"/>
            <w:shd w:val="clear" w:color="auto" w:fill="CCCCCC"/>
          </w:tcPr>
          <w:p w14:paraId="42E7C874" w14:textId="4DAD3DCD" w:rsidR="00464F34" w:rsidRPr="0076606B" w:rsidRDefault="007106FB" w:rsidP="002F1D8D">
            <w:pPr>
              <w:pStyle w:val="InstructionsText"/>
            </w:pPr>
            <w:r>
              <w:t>Eilutės numeris</w:t>
            </w:r>
          </w:p>
        </w:tc>
        <w:tc>
          <w:tcPr>
            <w:tcW w:w="8363" w:type="dxa"/>
            <w:shd w:val="clear" w:color="auto" w:fill="CCCCCC"/>
          </w:tcPr>
          <w:p w14:paraId="5101E780" w14:textId="6FFAFB3B" w:rsidR="00464F34" w:rsidRPr="0076606B" w:rsidRDefault="0076606B" w:rsidP="002F1D8D">
            <w:pPr>
              <w:pStyle w:val="InstructionsText"/>
            </w:pPr>
            <w:r>
              <w:t>Paaiškinimas</w:t>
            </w:r>
          </w:p>
        </w:tc>
      </w:tr>
      <w:tr w:rsidR="00464F34" w:rsidRPr="0076606B" w14:paraId="4200F5F5" w14:textId="77777777" w:rsidTr="00D9757A">
        <w:tc>
          <w:tcPr>
            <w:tcW w:w="1555" w:type="dxa"/>
          </w:tcPr>
          <w:p w14:paraId="13D34CD0" w14:textId="17D414E2" w:rsidR="00464F34" w:rsidRPr="0076606B" w:rsidRDefault="0076606B" w:rsidP="002F1D8D">
            <w:pPr>
              <w:pStyle w:val="InstructionsText"/>
            </w:pPr>
            <w:r>
              <w:t>1</w:t>
            </w:r>
          </w:p>
        </w:tc>
        <w:tc>
          <w:tcPr>
            <w:tcW w:w="8363" w:type="dxa"/>
          </w:tcPr>
          <w:p w14:paraId="6642D329" w14:textId="77777777" w:rsidR="002F1D8D" w:rsidRDefault="00A15ACF" w:rsidP="002F1D8D">
            <w:pPr>
              <w:pStyle w:val="InstructionsText"/>
              <w:rPr>
                <w:rStyle w:val="cf01"/>
                <w:rFonts w:ascii="Times New Roman" w:hAnsi="Times New Roman" w:cs="Times New Roman"/>
                <w:b/>
                <w:bCs w:val="0"/>
                <w:sz w:val="24"/>
                <w:szCs w:val="24"/>
              </w:rPr>
            </w:pPr>
            <w:proofErr w:type="spellStart"/>
            <w:r>
              <w:rPr>
                <w:rStyle w:val="cf01"/>
                <w:rFonts w:ascii="Times New Roman" w:hAnsi="Times New Roman"/>
                <w:b/>
                <w:sz w:val="24"/>
              </w:rPr>
              <w:t>Tokenizuotas</w:t>
            </w:r>
            <w:proofErr w:type="spellEnd"/>
            <w:r>
              <w:rPr>
                <w:rStyle w:val="cf01"/>
                <w:rFonts w:ascii="Times New Roman" w:hAnsi="Times New Roman"/>
                <w:b/>
                <w:sz w:val="24"/>
              </w:rPr>
              <w:t xml:space="preserve"> tradicinis turtas</w:t>
            </w:r>
          </w:p>
          <w:p w14:paraId="2C368109" w14:textId="2B9C5F81" w:rsidR="000811A0" w:rsidRPr="0076606B" w:rsidRDefault="000C1FFC" w:rsidP="002F1D8D">
            <w:pPr>
              <w:pStyle w:val="InstructionsText"/>
            </w:pPr>
            <w:r>
              <w:t xml:space="preserve">Reglamento (ES) Nr. 575/2013 </w:t>
            </w:r>
            <w:r>
              <w:rPr>
                <w:rStyle w:val="InstructionsTabelleberschrift"/>
                <w:rFonts w:ascii="Times New Roman" w:hAnsi="Times New Roman"/>
                <w:b w:val="0"/>
                <w:sz w:val="24"/>
                <w:u w:val="none"/>
              </w:rPr>
              <w:t>501d straipsnio 2 dalies a punktas</w:t>
            </w:r>
          </w:p>
        </w:tc>
      </w:tr>
      <w:tr w:rsidR="00373762" w:rsidRPr="0076606B" w14:paraId="3CBB5149" w14:textId="77777777" w:rsidTr="00D9757A">
        <w:tc>
          <w:tcPr>
            <w:tcW w:w="1555" w:type="dxa"/>
          </w:tcPr>
          <w:p w14:paraId="6C15DAA6" w14:textId="315E07AC" w:rsidR="00373762" w:rsidRPr="0076606B" w:rsidRDefault="0076606B" w:rsidP="002F1D8D">
            <w:pPr>
              <w:pStyle w:val="InstructionsText"/>
            </w:pPr>
            <w:r>
              <w:t>2</w:t>
            </w:r>
          </w:p>
        </w:tc>
        <w:tc>
          <w:tcPr>
            <w:tcW w:w="8363" w:type="dxa"/>
          </w:tcPr>
          <w:p w14:paraId="1BDD91BD" w14:textId="121E64C7" w:rsidR="000C1FFC" w:rsidRPr="0076606B" w:rsidRDefault="00A02EBC"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 Su turtu susieti žetonai</w:t>
            </w:r>
          </w:p>
          <w:p w14:paraId="1D7215CE" w14:textId="2908A903" w:rsidR="000811A0" w:rsidRPr="0076606B" w:rsidRDefault="000811A0" w:rsidP="002F1D8D">
            <w:pPr>
              <w:pStyle w:val="InstructionsText"/>
              <w:rPr>
                <w:rStyle w:val="InstructionsTabelleberschrift"/>
                <w:rFonts w:ascii="Times New Roman" w:hAnsi="Times New Roman"/>
                <w:sz w:val="24"/>
                <w:u w:val="none"/>
              </w:rPr>
            </w:pPr>
            <w:r>
              <w:t>Reglamento (ES) Nr. 575/2013 501d straipsnio 2 dalies b punktas</w:t>
            </w:r>
          </w:p>
        </w:tc>
      </w:tr>
      <w:tr w:rsidR="00373762" w:rsidRPr="0076606B" w14:paraId="5E466513" w14:textId="77777777" w:rsidTr="00D9757A">
        <w:tc>
          <w:tcPr>
            <w:tcW w:w="1555" w:type="dxa"/>
          </w:tcPr>
          <w:p w14:paraId="39E8A0FB" w14:textId="215B912E" w:rsidR="00373762" w:rsidRPr="0076606B" w:rsidRDefault="00D9757A" w:rsidP="002F1D8D">
            <w:pPr>
              <w:pStyle w:val="InstructionsText"/>
            </w:pPr>
            <w:r>
              <w:lastRenderedPageBreak/>
              <w:t>3</w:t>
            </w:r>
          </w:p>
        </w:tc>
        <w:tc>
          <w:tcPr>
            <w:tcW w:w="8363" w:type="dxa"/>
          </w:tcPr>
          <w:p w14:paraId="0CD31563" w14:textId="11ABCDFB" w:rsidR="000C1FFC" w:rsidRPr="0076606B" w:rsidRDefault="006C06AC" w:rsidP="002F1D8D">
            <w:pPr>
              <w:pStyle w:val="InstructionsText"/>
            </w:pPr>
            <w:r>
              <w:rPr>
                <w:rStyle w:val="InstructionsTabelleberschrift"/>
                <w:rFonts w:ascii="Times New Roman" w:hAnsi="Times New Roman"/>
                <w:sz w:val="24"/>
                <w:u w:val="none"/>
              </w:rPr>
              <w:t xml:space="preserve">Kito </w:t>
            </w:r>
            <w:proofErr w:type="spellStart"/>
            <w:r>
              <w:rPr>
                <w:rStyle w:val="InstructionsTabelleberschrift"/>
                <w:rFonts w:ascii="Times New Roman" w:hAnsi="Times New Roman"/>
                <w:sz w:val="24"/>
                <w:u w:val="none"/>
              </w:rPr>
              <w:t>kriptoturto</w:t>
            </w:r>
            <w:proofErr w:type="spellEnd"/>
            <w:r>
              <w:rPr>
                <w:rStyle w:val="InstructionsTabelleberschrift"/>
                <w:rFonts w:ascii="Times New Roman" w:hAnsi="Times New Roman"/>
                <w:sz w:val="24"/>
                <w:u w:val="none"/>
              </w:rPr>
              <w:t xml:space="preserve"> pozicijos</w:t>
            </w:r>
          </w:p>
          <w:p w14:paraId="22594EAC" w14:textId="4C48A710" w:rsidR="00373762" w:rsidRPr="0076606B" w:rsidRDefault="000811A0" w:rsidP="002F1D8D">
            <w:pPr>
              <w:pStyle w:val="InstructionsText"/>
              <w:rPr>
                <w:rStyle w:val="InstructionsTabelleberschrift"/>
                <w:rFonts w:ascii="Times New Roman" w:hAnsi="Times New Roman"/>
                <w:b w:val="0"/>
                <w:sz w:val="24"/>
                <w:u w:val="none"/>
              </w:rPr>
            </w:pPr>
            <w:r>
              <w:t xml:space="preserve">Reglamento (ES) Nr. 575/2013 </w:t>
            </w:r>
            <w:r>
              <w:rPr>
                <w:rStyle w:val="InstructionsTabelleberschrift"/>
                <w:rFonts w:ascii="Times New Roman" w:hAnsi="Times New Roman"/>
                <w:b w:val="0"/>
                <w:sz w:val="24"/>
                <w:u w:val="none"/>
              </w:rPr>
              <w:t>501d straipsnio 2 dalies c punktas</w:t>
            </w:r>
          </w:p>
          <w:p w14:paraId="1BCB3895" w14:textId="0709C3F8" w:rsidR="000811A0" w:rsidRPr="00D9757A" w:rsidRDefault="4EBA09A7" w:rsidP="002F1D8D">
            <w:pPr>
              <w:pStyle w:val="InstructionsText"/>
            </w:pPr>
            <w:r>
              <w:rPr>
                <w:rStyle w:val="InstructionsTabelleberschrift"/>
                <w:rFonts w:ascii="Times New Roman" w:hAnsi="Times New Roman"/>
                <w:b w:val="0"/>
                <w:sz w:val="24"/>
                <w:u w:val="none"/>
              </w:rPr>
              <w:t xml:space="preserve">Kitos </w:t>
            </w:r>
            <w:proofErr w:type="spellStart"/>
            <w:r>
              <w:rPr>
                <w:rStyle w:val="InstructionsTabelleberschrift"/>
                <w:rFonts w:ascii="Times New Roman" w:hAnsi="Times New Roman"/>
                <w:b w:val="0"/>
                <w:sz w:val="24"/>
                <w:u w:val="none"/>
              </w:rPr>
              <w:t>kriptoturto</w:t>
            </w:r>
            <w:proofErr w:type="spellEnd"/>
            <w:r>
              <w:rPr>
                <w:rStyle w:val="InstructionsTabelleberschrift"/>
                <w:rFonts w:ascii="Times New Roman" w:hAnsi="Times New Roman"/>
                <w:b w:val="0"/>
                <w:sz w:val="24"/>
                <w:u w:val="none"/>
              </w:rPr>
              <w:t xml:space="preserve"> pozicijos, kurios skiriasi nuo nurodytųjų Reglamento (ES) Nr. 575/2013</w:t>
            </w:r>
            <w:r>
              <w:t> 501d straipsnio 2 dalies a ir b punktuose</w:t>
            </w:r>
            <w:r>
              <w:rPr>
                <w:rStyle w:val="InstructionsTabelleberschrift"/>
                <w:rFonts w:ascii="Times New Roman" w:hAnsi="Times New Roman"/>
                <w:b w:val="0"/>
                <w:sz w:val="24"/>
                <w:u w:val="none"/>
              </w:rPr>
              <w:t>.</w:t>
            </w:r>
          </w:p>
        </w:tc>
      </w:tr>
      <w:tr w:rsidR="00623C6D" w:rsidRPr="0076606B" w14:paraId="10277CD1" w14:textId="77777777" w:rsidTr="00D9757A">
        <w:tc>
          <w:tcPr>
            <w:tcW w:w="1555" w:type="dxa"/>
          </w:tcPr>
          <w:p w14:paraId="33D217D5" w14:textId="13A52B17" w:rsidR="00623C6D" w:rsidRPr="0076606B" w:rsidRDefault="00D9757A" w:rsidP="002F1D8D">
            <w:pPr>
              <w:pStyle w:val="InstructionsText"/>
            </w:pPr>
            <w:r>
              <w:t>4</w:t>
            </w:r>
          </w:p>
        </w:tc>
        <w:tc>
          <w:tcPr>
            <w:tcW w:w="8363" w:type="dxa"/>
          </w:tcPr>
          <w:p w14:paraId="5385821A" w14:textId="259A3565" w:rsidR="00623C6D" w:rsidRPr="0076606B" w:rsidRDefault="00931726" w:rsidP="002F1D8D">
            <w:pPr>
              <w:pStyle w:val="InstructionsText"/>
            </w:pPr>
            <w:r>
              <w:rPr>
                <w:rStyle w:val="InstructionsTabelleberschrift"/>
                <w:rFonts w:ascii="Times New Roman" w:hAnsi="Times New Roman"/>
                <w:sz w:val="24"/>
                <w:u w:val="none"/>
              </w:rPr>
              <w:t>Iš viso</w:t>
            </w:r>
          </w:p>
          <w:p w14:paraId="55F5AED4" w14:textId="5039CC11" w:rsidR="003B6B5F" w:rsidRDefault="0088549A"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Bendra vertė apskaičiuojama kaip 1, 2 ir 3 eilučių suma. </w:t>
            </w:r>
          </w:p>
          <w:p w14:paraId="2CF3B315" w14:textId="33408195" w:rsidR="00623C6D" w:rsidRDefault="003B6B5F"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Bendra rizikos pozicijos suma yra lygi sumai, atskleistai EU OV1 formos EU</w:t>
            </w:r>
            <w:r w:rsidR="000D6415">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24a eilutės a skiltyje.</w:t>
            </w:r>
          </w:p>
          <w:p w14:paraId="1DE909BE" w14:textId="4CB7F996" w:rsidR="003B6B5F" w:rsidRPr="0076606B" w:rsidRDefault="003B6B5F" w:rsidP="002F1D8D">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Bendra nuosavų lėšų reikalavimų suma yra lygi sumai, atskleistai EU OV1 formos EU</w:t>
            </w:r>
            <w:r w:rsidR="000D6415">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24a eilutės c skiltyje.</w:t>
            </w:r>
          </w:p>
        </w:tc>
      </w:tr>
      <w:tr w:rsidR="001F0121" w:rsidRPr="0076606B" w14:paraId="1E203B4D" w14:textId="77777777" w:rsidTr="001F0121">
        <w:tc>
          <w:tcPr>
            <w:tcW w:w="1555" w:type="dxa"/>
            <w:shd w:val="clear" w:color="auto" w:fill="D9D9D9" w:themeFill="background1" w:themeFillShade="D9"/>
          </w:tcPr>
          <w:p w14:paraId="5024020C" w14:textId="77777777" w:rsidR="001F0121" w:rsidRDefault="001F0121" w:rsidP="002F1D8D">
            <w:pPr>
              <w:pStyle w:val="InstructionsText"/>
            </w:pPr>
          </w:p>
        </w:tc>
        <w:tc>
          <w:tcPr>
            <w:tcW w:w="8363" w:type="dxa"/>
            <w:shd w:val="clear" w:color="auto" w:fill="D9D9D9" w:themeFill="background1" w:themeFillShade="D9"/>
          </w:tcPr>
          <w:p w14:paraId="106F6FC9" w14:textId="3BB95B54" w:rsidR="001F0121" w:rsidRPr="001F0121" w:rsidRDefault="001F0121"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Papildomi straipsniai </w:t>
            </w:r>
          </w:p>
        </w:tc>
      </w:tr>
      <w:tr w:rsidR="001F0121" w:rsidRPr="0076606B" w14:paraId="50DA30D3" w14:textId="77777777" w:rsidTr="00D9757A">
        <w:tc>
          <w:tcPr>
            <w:tcW w:w="1555" w:type="dxa"/>
          </w:tcPr>
          <w:p w14:paraId="41FBBB67" w14:textId="5DBC581B" w:rsidR="001F0121" w:rsidRDefault="001F0121" w:rsidP="002F1D8D">
            <w:pPr>
              <w:pStyle w:val="InstructionsText"/>
            </w:pPr>
            <w:r>
              <w:t>5</w:t>
            </w:r>
          </w:p>
        </w:tc>
        <w:tc>
          <w:tcPr>
            <w:tcW w:w="8363" w:type="dxa"/>
          </w:tcPr>
          <w:p w14:paraId="47F1511E" w14:textId="768E44DB" w:rsidR="00AA385A" w:rsidRDefault="00685F67" w:rsidP="002F1D8D">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Kito </w:t>
            </w:r>
            <w:proofErr w:type="spellStart"/>
            <w:r>
              <w:rPr>
                <w:rStyle w:val="InstructionsTabelleberschrift"/>
                <w:rFonts w:ascii="Times New Roman" w:hAnsi="Times New Roman"/>
                <w:sz w:val="24"/>
                <w:u w:val="none"/>
              </w:rPr>
              <w:t>kriptoturto</w:t>
            </w:r>
            <w:proofErr w:type="spellEnd"/>
            <w:r>
              <w:rPr>
                <w:rStyle w:val="InstructionsTabelleberschrift"/>
                <w:rFonts w:ascii="Times New Roman" w:hAnsi="Times New Roman"/>
                <w:sz w:val="24"/>
                <w:u w:val="none"/>
              </w:rPr>
              <w:t xml:space="preserve"> pozicijos, išreikštos įstaigų T1 kapitalo procentine dalimi</w:t>
            </w:r>
          </w:p>
          <w:p w14:paraId="77AFF5E7" w14:textId="1A3DFBE3" w:rsidR="001F0121" w:rsidRPr="0076606B" w:rsidRDefault="001F0121" w:rsidP="002F1D8D">
            <w:pPr>
              <w:pStyle w:val="InstructionsText"/>
              <w:rPr>
                <w:rStyle w:val="InstructionsTabelleberschrift"/>
                <w:rFonts w:ascii="Times New Roman" w:hAnsi="Times New Roman"/>
                <w:b w:val="0"/>
                <w:sz w:val="24"/>
                <w:u w:val="none"/>
              </w:rPr>
            </w:pPr>
            <w:r>
              <w:t xml:space="preserve">Reglamento (ES) Nr. 575/2013 </w:t>
            </w:r>
            <w:r>
              <w:rPr>
                <w:rStyle w:val="InstructionsTabelleberschrift"/>
                <w:rFonts w:ascii="Times New Roman" w:hAnsi="Times New Roman"/>
                <w:b w:val="0"/>
                <w:sz w:val="24"/>
                <w:u w:val="none"/>
              </w:rPr>
              <w:t>501d straipsnio 3 dalis</w:t>
            </w:r>
          </w:p>
          <w:p w14:paraId="715123E0" w14:textId="3FEC4A67" w:rsidR="001F0121" w:rsidRPr="001F0121" w:rsidRDefault="001F0121" w:rsidP="002F1D8D">
            <w:pPr>
              <w:pStyle w:val="InstructionsText"/>
              <w:rPr>
                <w:rStyle w:val="InstructionsTabelleberschrift"/>
                <w:rFonts w:ascii="Times New Roman" w:hAnsi="Times New Roman"/>
                <w:b w:val="0"/>
                <w:bCs/>
                <w:sz w:val="24"/>
                <w:u w:val="none"/>
              </w:rPr>
            </w:pPr>
          </w:p>
        </w:tc>
      </w:tr>
    </w:tbl>
    <w:p w14:paraId="0793ABC6" w14:textId="77777777" w:rsidR="001C7AB7" w:rsidRPr="002A677E" w:rsidRDefault="001C7AB7">
      <w:pPr>
        <w:spacing w:before="0" w:after="0"/>
        <w:jc w:val="left"/>
        <w:rPr>
          <w:rFonts w:ascii="Times New Roman" w:hAnsi="Times New Roman"/>
          <w:bCs/>
          <w:sz w:val="24"/>
          <w:lang w:eastAsia="de-DE"/>
        </w:rPr>
      </w:pPr>
    </w:p>
    <w:sectPr w:rsidR="001C7AB7" w:rsidRPr="002A677E" w:rsidSect="00570E7E">
      <w:headerReference w:type="even" r:id="rId8"/>
      <w:headerReference w:type="default" r:id="rId9"/>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69097" w14:textId="77777777" w:rsidR="005C552D" w:rsidRDefault="005C552D" w:rsidP="00D946DB">
      <w:pPr>
        <w:spacing w:before="0" w:after="0"/>
      </w:pPr>
      <w:r>
        <w:separator/>
      </w:r>
    </w:p>
  </w:endnote>
  <w:endnote w:type="continuationSeparator" w:id="0">
    <w:p w14:paraId="06C7DA22" w14:textId="77777777" w:rsidR="005C552D" w:rsidRDefault="005C552D" w:rsidP="00D946DB">
      <w:pPr>
        <w:spacing w:before="0" w:after="0"/>
      </w:pPr>
      <w:r>
        <w:continuationSeparator/>
      </w:r>
    </w:p>
  </w:endnote>
  <w:endnote w:type="continuationNotice" w:id="1">
    <w:p w14:paraId="18B00A8E" w14:textId="77777777" w:rsidR="005C552D" w:rsidRDefault="005C552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CD4AB" w14:textId="77777777" w:rsidR="005C552D" w:rsidRDefault="005C552D" w:rsidP="00D946DB">
      <w:pPr>
        <w:spacing w:before="0" w:after="0"/>
      </w:pPr>
      <w:r>
        <w:separator/>
      </w:r>
    </w:p>
  </w:footnote>
  <w:footnote w:type="continuationSeparator" w:id="0">
    <w:p w14:paraId="4139C317" w14:textId="77777777" w:rsidR="005C552D" w:rsidRDefault="005C552D" w:rsidP="00D946DB">
      <w:pPr>
        <w:spacing w:before="0" w:after="0"/>
      </w:pPr>
      <w:r>
        <w:continuationSeparator/>
      </w:r>
    </w:p>
  </w:footnote>
  <w:footnote w:type="continuationNotice" w:id="1">
    <w:p w14:paraId="3137A241" w14:textId="77777777" w:rsidR="005C552D" w:rsidRDefault="005C552D">
      <w:pPr>
        <w:spacing w:before="0" w:after="0"/>
      </w:pPr>
    </w:p>
  </w:footnote>
  <w:footnote w:id="2">
    <w:p w14:paraId="5704B613" w14:textId="770B6789" w:rsidR="0076606B" w:rsidRPr="00D9757A" w:rsidRDefault="0076606B" w:rsidP="0076606B">
      <w:pPr>
        <w:pStyle w:val="FootnoteText"/>
        <w:rPr>
          <w:rFonts w:ascii="Times New Roman" w:eastAsia="Calibri"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sz w:val="18"/>
        </w:rPr>
        <w:tab/>
        <w:t xml:space="preserve">2013 m. birželio 26 d. Europos Parlamento ir Tarybos reglamentas (ES) Nr. 575/2013 dėl riziką ribojančių reikalavimų kredito įstaigoms, kuriuo iš dalies keičiamas Reglamentas (ES) Nr. 648/2012, su pakeitimais, padarytais Reglamentu (ES) 2024/1623, </w:t>
      </w:r>
      <w:r>
        <w:t>(</w:t>
      </w:r>
      <w:hyperlink r:id="rId1" w:history="1">
        <w:r>
          <w:rPr>
            <w:rStyle w:val="Hyperlink"/>
            <w:color w:val="800080"/>
          </w:rPr>
          <w:t>OL L 176, 2013 6 27, p. 1;</w:t>
        </w:r>
      </w:hyperlink>
      <w:r>
        <w:rPr>
          <w:color w:val="800080"/>
          <w:u w:val="single"/>
        </w:rPr>
        <w:t xml:space="preserve"> </w:t>
      </w:r>
      <w:hyperlink r:id="rId2" w:history="1">
        <w:r>
          <w:rPr>
            <w:rStyle w:val="Hyperlink"/>
          </w:rPr>
          <w:t>Reglamentas (ES) 2024/1623 - LT - EUR-</w:t>
        </w:r>
        <w:proofErr w:type="spellStart"/>
        <w:r>
          <w:rPr>
            <w:rStyle w:val="Hyperlink"/>
          </w:rPr>
          <w:t>Lex</w:t>
        </w:r>
        <w:proofErr w:type="spellEnd"/>
        <w:r>
          <w:rPr>
            <w:rStyle w:val="Hyperlink"/>
          </w:rPr>
          <w:t xml:space="preserve">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360" w:hanging="360"/>
      </w:pPr>
      <w:rPr>
        <w:rFonts w:cs="Times New Roman"/>
      </w:rPr>
    </w:lvl>
    <w:lvl w:ilvl="1" w:tplc="5F56F3B6">
      <w:start w:val="1"/>
      <w:numFmt w:val="lowerLetter"/>
      <w:lvlText w:val="(%2)"/>
      <w:lvlJc w:val="left"/>
      <w:pPr>
        <w:ind w:left="447" w:hanging="360"/>
      </w:pPr>
      <w:rPr>
        <w:rFonts w:cs="Times New Roman" w:hint="default"/>
      </w:rPr>
    </w:lvl>
    <w:lvl w:ilvl="2" w:tplc="04070005">
      <w:start w:val="1"/>
      <w:numFmt w:val="lowerRoman"/>
      <w:lvlText w:val="%3."/>
      <w:lvlJc w:val="right"/>
      <w:pPr>
        <w:ind w:left="1167" w:hanging="180"/>
      </w:pPr>
      <w:rPr>
        <w:rFonts w:cs="Times New Roman"/>
      </w:rPr>
    </w:lvl>
    <w:lvl w:ilvl="3" w:tplc="04070001">
      <w:start w:val="1"/>
      <w:numFmt w:val="decimal"/>
      <w:lvlText w:val="%4."/>
      <w:lvlJc w:val="left"/>
      <w:pPr>
        <w:ind w:left="1887" w:hanging="360"/>
      </w:pPr>
      <w:rPr>
        <w:rFonts w:cs="Times New Roman"/>
      </w:rPr>
    </w:lvl>
    <w:lvl w:ilvl="4" w:tplc="04070003" w:tentative="1">
      <w:start w:val="1"/>
      <w:numFmt w:val="lowerLetter"/>
      <w:lvlText w:val="%5."/>
      <w:lvlJc w:val="left"/>
      <w:pPr>
        <w:ind w:left="2607" w:hanging="360"/>
      </w:pPr>
      <w:rPr>
        <w:rFonts w:cs="Times New Roman"/>
      </w:rPr>
    </w:lvl>
    <w:lvl w:ilvl="5" w:tplc="04070005" w:tentative="1">
      <w:start w:val="1"/>
      <w:numFmt w:val="lowerRoman"/>
      <w:lvlText w:val="%6."/>
      <w:lvlJc w:val="right"/>
      <w:pPr>
        <w:ind w:left="3327" w:hanging="180"/>
      </w:pPr>
      <w:rPr>
        <w:rFonts w:cs="Times New Roman"/>
      </w:rPr>
    </w:lvl>
    <w:lvl w:ilvl="6" w:tplc="04070001" w:tentative="1">
      <w:start w:val="1"/>
      <w:numFmt w:val="decimal"/>
      <w:lvlText w:val="%7."/>
      <w:lvlJc w:val="left"/>
      <w:pPr>
        <w:ind w:left="4047" w:hanging="360"/>
      </w:pPr>
      <w:rPr>
        <w:rFonts w:cs="Times New Roman"/>
      </w:rPr>
    </w:lvl>
    <w:lvl w:ilvl="7" w:tplc="04070003" w:tentative="1">
      <w:start w:val="1"/>
      <w:numFmt w:val="lowerLetter"/>
      <w:lvlText w:val="%8."/>
      <w:lvlJc w:val="left"/>
      <w:pPr>
        <w:ind w:left="4767" w:hanging="360"/>
      </w:pPr>
      <w:rPr>
        <w:rFonts w:cs="Times New Roman"/>
      </w:rPr>
    </w:lvl>
    <w:lvl w:ilvl="8" w:tplc="04070005" w:tentative="1">
      <w:start w:val="1"/>
      <w:numFmt w:val="lowerRoman"/>
      <w:lvlText w:val="%9."/>
      <w:lvlJc w:val="right"/>
      <w:pPr>
        <w:ind w:left="5487"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hideSpellingErrors/>
  <w:activeWritingStyle w:appName="MSWord" w:lang="en-US" w:vendorID="64" w:dllVersion="0" w:nlCheck="1" w:checkStyle="0"/>
  <w:activeWritingStyle w:appName="MSWord" w:lang="en-GB" w:vendorID="64" w:dllVersion="0" w:nlCheck="1" w:checkStyle="0"/>
  <w:activeWritingStyle w:appName="MSWord" w:lang="fr-LU"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3448"/>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1A0"/>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B67"/>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1FFC"/>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415"/>
    <w:rsid w:val="000D6B9B"/>
    <w:rsid w:val="000D6F90"/>
    <w:rsid w:val="000E06FA"/>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ADA"/>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3E6F"/>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4DE"/>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12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61D"/>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53A0"/>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479"/>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D8D"/>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4A9"/>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8D4"/>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6B5F"/>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3E3A"/>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600"/>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05F"/>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1BA"/>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547"/>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588D"/>
    <w:rsid w:val="005666F4"/>
    <w:rsid w:val="00566905"/>
    <w:rsid w:val="00566A45"/>
    <w:rsid w:val="00566DB5"/>
    <w:rsid w:val="00566E59"/>
    <w:rsid w:val="005704F9"/>
    <w:rsid w:val="00570E7E"/>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E68"/>
    <w:rsid w:val="005C401B"/>
    <w:rsid w:val="005C4B60"/>
    <w:rsid w:val="005C5136"/>
    <w:rsid w:val="005C517E"/>
    <w:rsid w:val="005C552D"/>
    <w:rsid w:val="005C6242"/>
    <w:rsid w:val="005C6605"/>
    <w:rsid w:val="005C6CF7"/>
    <w:rsid w:val="005C6DEB"/>
    <w:rsid w:val="005C7542"/>
    <w:rsid w:val="005C7A65"/>
    <w:rsid w:val="005C7A91"/>
    <w:rsid w:val="005D017B"/>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4E6F"/>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C6D"/>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F94"/>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AF4"/>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85F67"/>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6AC"/>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858"/>
    <w:rsid w:val="00723A50"/>
    <w:rsid w:val="00723F2B"/>
    <w:rsid w:val="00724108"/>
    <w:rsid w:val="007241D3"/>
    <w:rsid w:val="00724589"/>
    <w:rsid w:val="007247ED"/>
    <w:rsid w:val="007248BD"/>
    <w:rsid w:val="007260DA"/>
    <w:rsid w:val="00726591"/>
    <w:rsid w:val="007272D4"/>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30"/>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06B"/>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0A3"/>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5FC"/>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54A"/>
    <w:rsid w:val="007D4746"/>
    <w:rsid w:val="007D4FF8"/>
    <w:rsid w:val="007D57E8"/>
    <w:rsid w:val="007D633B"/>
    <w:rsid w:val="007D63B3"/>
    <w:rsid w:val="007D7224"/>
    <w:rsid w:val="007D7D73"/>
    <w:rsid w:val="007E1466"/>
    <w:rsid w:val="007E16E5"/>
    <w:rsid w:val="007E18BB"/>
    <w:rsid w:val="007E1ED6"/>
    <w:rsid w:val="007E2B46"/>
    <w:rsid w:val="007E31D1"/>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485"/>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B90"/>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33BC"/>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49A"/>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A2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0BE"/>
    <w:rsid w:val="00931528"/>
    <w:rsid w:val="00931726"/>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2EBC"/>
    <w:rsid w:val="00A03C89"/>
    <w:rsid w:val="00A03DC9"/>
    <w:rsid w:val="00A045D1"/>
    <w:rsid w:val="00A0483F"/>
    <w:rsid w:val="00A04CFA"/>
    <w:rsid w:val="00A0575F"/>
    <w:rsid w:val="00A05C8B"/>
    <w:rsid w:val="00A06927"/>
    <w:rsid w:val="00A07646"/>
    <w:rsid w:val="00A10C90"/>
    <w:rsid w:val="00A114D6"/>
    <w:rsid w:val="00A11C6E"/>
    <w:rsid w:val="00A11E9B"/>
    <w:rsid w:val="00A12B66"/>
    <w:rsid w:val="00A12EBD"/>
    <w:rsid w:val="00A12ECF"/>
    <w:rsid w:val="00A136CD"/>
    <w:rsid w:val="00A13C75"/>
    <w:rsid w:val="00A13D97"/>
    <w:rsid w:val="00A14679"/>
    <w:rsid w:val="00A15371"/>
    <w:rsid w:val="00A15696"/>
    <w:rsid w:val="00A1589A"/>
    <w:rsid w:val="00A159E2"/>
    <w:rsid w:val="00A15ACF"/>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3C47"/>
    <w:rsid w:val="00A94552"/>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385A"/>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178"/>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7A9"/>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88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458"/>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507"/>
    <w:rsid w:val="00CE5512"/>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3B1B"/>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03C"/>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57C6"/>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9757A"/>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0D0"/>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03C"/>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1E83"/>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1F62"/>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875"/>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7F8"/>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0B67"/>
    <w:rsid w:val="00F30C57"/>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448"/>
    <w:rsid w:val="00FF15C6"/>
    <w:rsid w:val="00FF1617"/>
    <w:rsid w:val="00FF208F"/>
    <w:rsid w:val="00FF2658"/>
    <w:rsid w:val="00FF2818"/>
    <w:rsid w:val="00FF2BC3"/>
    <w:rsid w:val="00FF2D0E"/>
    <w:rsid w:val="00FF36A5"/>
    <w:rsid w:val="00FF3B3B"/>
    <w:rsid w:val="00FF49BE"/>
    <w:rsid w:val="00FF6630"/>
    <w:rsid w:val="00FF6BEE"/>
    <w:rsid w:val="00FF6E0E"/>
    <w:rsid w:val="00FF75CC"/>
    <w:rsid w:val="01C30CCF"/>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B4EEB3"/>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2B9F95"/>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A7184F1"/>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6B689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7A2490F"/>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BDB7AAB"/>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0304A7"/>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BA09A7"/>
    <w:rsid w:val="4EF61534"/>
    <w:rsid w:val="4F39CF42"/>
    <w:rsid w:val="4FD33F80"/>
    <w:rsid w:val="4FDE97E6"/>
    <w:rsid w:val="4FE9CA36"/>
    <w:rsid w:val="50820D43"/>
    <w:rsid w:val="5098F6C4"/>
    <w:rsid w:val="50DCBEC3"/>
    <w:rsid w:val="5157F2B5"/>
    <w:rsid w:val="517CBBA0"/>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AF3F54"/>
    <w:rsid w:val="5FCB8A86"/>
    <w:rsid w:val="5FF14103"/>
    <w:rsid w:val="600C2FB0"/>
    <w:rsid w:val="60290D1E"/>
    <w:rsid w:val="609C72D8"/>
    <w:rsid w:val="60C43AC3"/>
    <w:rsid w:val="6116CB0F"/>
    <w:rsid w:val="619BBE61"/>
    <w:rsid w:val="61EB4141"/>
    <w:rsid w:val="62624A16"/>
    <w:rsid w:val="627DBBFB"/>
    <w:rsid w:val="628F8154"/>
    <w:rsid w:val="62D561CC"/>
    <w:rsid w:val="634CD558"/>
    <w:rsid w:val="634F01E0"/>
    <w:rsid w:val="635C49C7"/>
    <w:rsid w:val="638DCD7E"/>
    <w:rsid w:val="63F3CB66"/>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A76FA2"/>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aliases w:val="Title 2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4408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F1D8D"/>
    <w:pPr>
      <w:spacing w:before="0"/>
      <w:ind w:left="360"/>
      <w:jc w:val="left"/>
    </w:pPr>
    <w:rPr>
      <w:rFonts w:ascii="Times New Roman" w:hAnsi="Times New Roman"/>
      <w:bCs/>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F1D8D"/>
    <w:rPr>
      <w:rFonts w:ascii="Times New Roman" w:eastAsia="Times New Roman" w:hAnsi="Times New Roman"/>
      <w:bCs/>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t-L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lt-LT"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14111176">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14DD8B0F-266B-40C4-B1DB-DDFE634FACD0}"/>
</file>

<file path=customXml/itemProps3.xml><?xml version="1.0" encoding="utf-8"?>
<ds:datastoreItem xmlns:ds="http://schemas.openxmlformats.org/officeDocument/2006/customXml" ds:itemID="{949E0723-AD65-4D41-9CCA-7150D087E402}"/>
</file>

<file path=customXml/itemProps4.xml><?xml version="1.0" encoding="utf-8"?>
<ds:datastoreItem xmlns:ds="http://schemas.openxmlformats.org/officeDocument/2006/customXml" ds:itemID="{335C14EB-B4E0-42A3-92C9-39DBE120005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1736</Characters>
  <Application>Microsoft Office Word</Application>
  <DocSecurity>0</DocSecurity>
  <Lines>59</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2024-06-06T15:40:00Z</dcterms:created>
  <dcterms:modified xsi:type="dcterms:W3CDTF">2024-10-17T14:56:00Z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a7de5dab-f179-4ce4-a821-7fc8370dee9b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